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305</w:t>
      </w:r>
    </w:p>
    <w:p>
      <w:r>
        <w:t>Bundesgericht (BGE), 2003-04-24, DE</w:t>
      </w:r>
    </w:p>
    <w:p>
      <w:r>
        <w:rPr>
          <w:b/>
        </w:rPr>
        <w:t xml:space="preserve">Quelle: </w:t>
      </w:r>
      <w:r>
        <w:t>https://mcp.opencaselaw.ch/entscheid/bge_129 III 305</w:t>
      </w:r>
    </w:p>
    <w:p>
      <w:r>
        <w:t>FR: ATF 129 III 305</w:t>
      </w:r>
    </w:p>
    <w:p>
      <w:r>
        <w:t>IT: DTF 129 III 305</w:t>
      </w:r>
    </w:p>
    <w:p>
      <w:pPr>
        <w:pStyle w:val="Heading2"/>
      </w:pPr>
      <w:r>
        <w:t>Regeste</w:t>
      </w:r>
    </w:p>
    <w:p>
      <w:r>
        <w:t>Regeste Behandlung der Vorsorge- und Freizügigkeitsleistungen im Erbfall. Die Leistungen der beruflichen Vorsorge (Säule 2a und 2b) fallen nicht in den Nachlass; sie unterliegen auch nicht der Herabsetzung (E. 2). Nicht anders verhält es sich mit den Freizügigkeitsleistungen; diese werden in der entsprechenden Reihenfolge an die in Art. 15 FZV aufgeführten Destinatäre ausbezahlt (E. 3).</w:t>
      </w:r>
    </w:p>
    <w:p>
      <w:pPr>
        <w:pStyle w:val="Heading2"/>
      </w:pPr>
      <w:r>
        <w:t>Erwägungen</w:t>
      </w:r>
    </w:p>
    <w:p>
      <w:r>
        <w:rPr>
          <w:b/>
        </w:rPr>
        <w:t>E. 2.1</w:t>
      </w:r>
    </w:p>
    <w:p>
      <w:r>
        <w:t>Bei der obligatorischen beruflichen Vorsorge (Säule 2a) ist das Rechtsverhältnis zwischen Vorsorgenehmer und Vorsorgeeinrichtung öffentlich-rechtlicher Natur; es entsteht als zwingende Nebenfolge des Arbeitsverhältnisses (Art. 2 Abs. 1 und Art. 7 Abs. 1 des Bundesgesetzes vom 25. Juni 1982 über die berufliche Alters-, Hinterlassenen- und Invalidenvorsorge [BVG; SR 831.40]). Die Ansprüche der Hinterbliebenen gemäss Art. 18 ff. BVG stehen nach einhelliger Meinung vollständig ausserhalb des Erbrechts: Weder fallen sie in den Nachlass noch unterliegen sie der erbrechtlichen Herabsetzung. Dies wird damit begründet, dass das BVG gegenüber dem ZGB ein zeitlich jüngeres Spezialgesetz ist (lex specialis posterior derogat legi generali priori).</w:t>
      </w:r>
    </w:p>
    <w:p>
      <w:r>
        <w:rPr>
          <w:b/>
        </w:rPr>
        <w:t>E. 2.2</w:t>
      </w:r>
    </w:p>
    <w:p>
      <w:r>
        <w:t>Im Bereich der freiwilligen, der vor- und der vorliegend interessierenden überobligatorischen beruflichen Vorsorge (Säule 2b) wird das Rechtsverhältnis zwischen der Vorsorgeeinrichtung und dem Vorsorgenehmer durch einen privatrechtlichen Vorsorgevertrag begründet, der rechtsdogmatisch den Innominatverträgen zuzuordnen ist ( BGE 118 V 229 E. 4b S. 232; BGE 122 V 142 E. 4b S. 145). Der Vorsorgevertrag ist funktional verwandt mit dem Lebensversicherungsvertrag im Sinne des VVG (SR 221.229.1). So wie die Begünstigten ihren Anspruch gegenüber einer Lebensversicherungsgesellschaft aus eigenem Recht (iure proprio) und nicht aus Erbrecht (iure hereditatis) erwerben ( Art. 78 VVG ; BGE 112 II 157 E. 1a S. 159 f.), haben die Anspruchsberechtigten auch bei der Säule 2b einen eigenen Anspruch gegen die Vorsorgeeinrichtung. Dieser basiert auf Art. 112 Abs. 2 OR , und entsprechend fallen die Leistungen der Vorsorgeeinrichtung nicht in die Erbmasse ( BGE 112 II 38 E. 3 S. 39; BGE 116 V 218 E. 2 S. 222). Indes ist in der Lehre umstritten, ob die Leistungen aus der überobligatorischen Vorsorge oder jedenfalls die theoretische Austrittsleistung per Todestag in sinngemässer Anwendung von Art. 476 und 529 ZGB für die Berechnung der verfügbaren Quote zum Nachlass hinzuzurechnen seien (dafür: PIOTET, Prestations des institutions de prévoyance et droit successoral, in: ZBJV 117/1981 S. 292 ff., insb. S. 298 f.; ders., Stipulations pour autrui, prévoyance professionnelle et droit successoral, in: AJP 1997 S. 538; RIEMER, Das Recht der beruflichen Vorsorge in der Schweiz, Bern 1985, S. 122; REBER/MEILI, Todesfallleistungen aus über- und ausserobligatorischer beruflicher Vorsorge und BGE 129 III 305 S. 308 Pflichtteilsschutz, in: SJZ 92/1996 S. 121 ff.; NUSSBAUM, Die Ansprüche der Hinterlassenen nach Erbrecht und aus beruflicher Vorsorge bzw. gebundener Selbstvorsorge, in: SZS 1988 S. 200; dagegen: Bundesamt für Justiz, in: ZBGR 70/1989 S. 283; WEIMAR, in: Berner Kommentar, N. 45 zu Art. 476 ZGB ; KOLLER, Privatrecht und Steuerrecht, Bern 1993, S. 210; ders., Familien- und Erbrecht und Vorsorge, in: recht, Studienheft 4, S. 24; GEISER, Güter- und erbrechtliche Planung und Vorsorgeeinrichtungen, in: Güter- und erbrechtliche Planung, Bern 1999, S. 96 ff.; AEBI-MÜLLER, Die optimale Begünstigung des überlebenden Ehegatten, Diss. Bern 2000, S. 40; dies., Gedanken zur Begünstigung des überlebenden Ehegatten, in: ZBJV 135/1999 S. 512; MOSER, Die zweite Säule und ihre Tragfähigkeit, Diss. Basel 1993, S. 175 f.; IZZO, Lebensversicherungsansprüche und -anwartschaften bei der güter- und erbrechtlichen Auseinandersetzung, Diss. Freiburg 1999, S. 329 f.; vermittelnd: STAEHELIN, Basler Kommentar, N. 19 zu Art. 476 ZGB ).</w:t>
      </w:r>
    </w:p>
    <w:p>
      <w:r>
        <w:rPr>
          <w:b/>
        </w:rPr>
        <w:t>E. 2.3</w:t>
      </w:r>
    </w:p>
    <w:p>
      <w:r>
        <w:t>Die Vorsorgeeinrichtung hat für die (öffentlich-rechtliche) obligatorische und die (dem Zivilrecht unterstehende) überobligatorische Vorsorge getrennte Rechnung oder jedenfalls eine Schattenrechnung zu führen (BRÜHWILER, Die betriebliche Personalvorsorge in der Schweiz, Bern 1989, S. 255; HELBLING, Personalvorsorge und BVG, Bern 2000, S. 436), wenn sie beide Bereiche abdeckt (sog. umhüllende Vorsorgeeinrichtung). Oft ist der Vorsorgenehmer auch bei zwei verschiedenen Vorsorgeeinrichtungen versichert, so zum Beispiel, wenn der obligatorische Teil an eine Drittgesellschaft übertragen ist und die Vorsorgeeinrichtung des Arbeitgebers nur den überobligatorischen Bereich abdeckt (REBER/MEILI, a.a.O., S. 119; BRÜHWILER, a.a.O., S. 255 f.). In rechtlicher Hinsicht untersteht die überobligatorische Vorsorge im Unterschied zur obligatorischen ( Art. 2 BVG ) und der freiwilligen ( Art. 4 BVG ) nicht (bzw. nur punktuell, vgl. Art. 49 Abs. 2 BVG ) dem BVG, sondern den Regeln des OR (RIEMER, Vorsorge-, Fürsorge- und Sparverträge der beruflichen Vorsorge, in: Innominatverträge, Zürich 1998, S. 238 ff.). Namentlich die Begünstigtenordnung richtet sich nicht nach Art. 18 ff. BVG , sondern nach dem Reglement der Vorsorgeeinrichtung und dem privatautonom ausgestalteten Vorsorgevertrag, dessen Abschluss und dessen Inhalt wenigstens in der Theorie auf den freien Willen des Vorsorgenehmers zurückzuführen sind. Dies darf jedoch nicht darüber hinwegtäuschen, dass der Vorsorgevertrag in der Praxis allenfalls bei höheren Kadern und gegebenenfalls beim Unternehmer individuell ausgestaltet wird (dazu E. 2.7). BGE 129 III 305 S. 309 Demgegenüber hat der ganz überwiegende Teil der Arbeitnehmer faktisch gar keine Wahl, ob und in welchem Umfang er im überobligatorischen Bereich eine Vorsorge treffen will (AEBI-MÜLLER, ZBJV, a.a.O., S. 512; REBER/MEILI, a.a.O., S. 119; MOSER, a.a.O., S. 176; IZZO, a.a.O., S. 329). Der Arbeitnehmer unterzeichnet in der Regel auch nur einen einzigen Vorsorgevertrag, der vielfach direkt im Arbeitsvertrag integriert ist (oft durch blossen Verweis auf das Reglement der Vorsorgeeinrichtung) und der kaum je auf eine obligatorische und eine überobligatorische Vorsorgekomponente hinweist. Die Leistungsmodalitäten und namentlich auch der Kreis der anspruchsberechtigten Hinterlassenen werden im Reglement der Vorsorgeeinrichtung generell-abstrakt umschrieben. Lässt es der Arbeitsvertrag nicht bei einem Verweis auf dieses Reglement bewenden, sondern enthält er Bestimmungen über die Vorsorge oder wird ein separater Vorsorgevertrag abgeschlossen, handelt es sich in der Regel um eine unveränderte Übernahme des im Reglement vorgesehenen Standards (zu den Ausnahmen siehe E. 2.7). In diesem Sinn ist die Vertragsautonomie eine einseitige und der Vorsorgenehmer verfügt richtig besehen weder über Abschluss- oder Partnerwahl- noch über Inhalts- oder gar Begünstigungsfreiheit (REBER/MEILI, a.a.O., S. 119; MOSER, a.a.O., S. 176). Hierin besteht ein wesentlicher Unterschied nicht nur zur gebundenen Selbstvorsorge (Säule 3a), bei der völlige Partnerwahl- und Abschlussfreiheit besteht, bei der die jährlichen Einzahlungen je nach Ausgestaltung des Vertrages beliebig ausgesetzt und bei der für den Todesfall die Begünstigten frei bestimmt werden können, sondern insbesondere auch zum Lebensversicherungsvertrag, der frei nach den Wünschen des Versicherten ausgestaltet und bei dem die Begünstigten nach dessen freier Willkür bezeichnet werden können.</w:t>
      </w:r>
    </w:p>
    <w:p>
      <w:r>
        <w:rPr>
          <w:b/>
        </w:rPr>
        <w:t>E. 2.4</w:t>
      </w:r>
    </w:p>
    <w:p>
      <w:r>
        <w:t>Hinsichtlich der praktischen Durchführung gilt es zu bedenken, dass die Berechnung der zukünftigen Rentenleistung namentlich beim überlebenden Ehegatten, aber auch bei Kindern, deren Ausbildungsdauer noch ungewiss ist, mit grossen Schwierigkeiten verbunden wäre. Mit einem Teil der Lehre statt die Rentenleistungen die rechnerische Austrittsleistung per Todestag der Herabsetzung zu unterstellen (so namentlich REBER/MEILI, a.a.O., S. 121 f.), wäre kein gangbarer Ausweg: Die Austrittsleistung richtet sich nach dem angesparten Vorsorgekapital (Beitragsprimat) und gegebenenfalls nach der Beitragsdauer (Leistungsprimat), während sich die Höhe der insgesamt ausbezahlten Rentensumme massgeblich aus der Dauer der Bezüge ergibt. Dieser Mechanismus würde beispielsweise BGE 129 III 305 S. 310 dann zu unhaltbaren Ergebnissen führen, wenn ein kurz vor der Volljährigkeit stehendes Kind für eine hohe Austrittsleistung einstehen müsste - es wäre diesfalls gegenüber seinen Geschwistern geradezu für das infolge des Kollektivitätsprinzips bei der Vorsorgeeinrichtung verbleibende Kapital herabsetzungspflichtig.</w:t>
      </w:r>
    </w:p>
    <w:p>
      <w:r>
        <w:rPr>
          <w:b/>
        </w:rPr>
        <w:t>E. 2.5</w:t>
      </w:r>
    </w:p>
    <w:p>
      <w:r>
        <w:t>Nebst den bereits erwähnten Elementen ist entscheidend, dass zwischen den Säulen 2a und 2b versicherungstechnisch kein Unterschied besteht. Beide sind an die Grundsätze der Verhältnismässigkeit und der Rechtsgleichheit sowie an das Willkürverbot gebunden ( BGE 115 V 103 E. 4b S. 109; BGE 119 V 283 E. 2a) und beide folgen den Prinzipien der Planmässigkeit und Angemessenheit sowie der Solidarität und Kollektivität ( BGE 120 Ib 199 E. 3c und d S. 202). Die beiden letztgenannten Prinzipien bedeuten, dass das verbleibende Kapital der Vorsorgeeinrichtung verfällt und für die Leistungserbringung an die übrigen Vorsorgenehmer verwendet wird, wenn der Vorsorgenehmer stirbt, ohne nach Reglement anspruchsberechtigte Personen zu hinterlassen; dies im Unterschied zur gebundenen Selbstvorsorge, bei der die Versicherungsleistung oder das angesparte Kapital in jedem Fall an jemanden ausbezahlt wird (vgl. Art. 2 Abs. 1 lit. b BVV 3 [SR 831.461.3]). Ebenso wenig besteht zwischen den Säulen 2a und 2b ein funktionaler Unterschied: Während die AHV/IV-Leistungen (Säule 1a) sowie die Ergänzungsleistungen (Säule 1b) der Existenzsicherung im Alter dienen, will die berufliche Vorsorge in ihrer Gesamtheit die Fortführung der bisherigen Lebenshaltung nach Aufgabe der Erwerbstätigkeit garantieren. So ist denn die Bevorzugung der Witwe (und je nach Reglement des Witwers) sowie der unterhaltsberechtigten Waisen gegenüber den anderen Pflichtteilsberechtigten auch im überobligatorischen Bereich ein wesentliches Merkmal des Vorsorgevertrages (WEIMAR, a.a.O., N. 45 zu Art. 476 ZGB ). Eben dieser Vorsorgezweck könnte ernsthaft in Frage gestellt sein, wenn die vom Vorsorgenehmer unterstützten Personen nach dessen Tod gegenüber den anderen gesetzlichen und den testamentarischen Erben herabsetzungspflichtig wären (vgl. etwa KOLLER, recht, a.a.O., S. 24).</w:t>
      </w:r>
    </w:p>
    <w:p>
      <w:r>
        <w:rPr>
          <w:b/>
        </w:rPr>
        <w:t>E. 2.6</w:t>
      </w:r>
    </w:p>
    <w:p>
      <w:r>
        <w:t>Die bisherigen Erwägungen stehen denn auch in Einklang mit den Grundgedanken des erbrechtlichen Pflichtteilsschutzes: Die "Überschreitung der Verfügungsbefugnis durch den Erblasser" bzw. eine "unentgeltliche Zuwendung" setzt einerseits Verfügungsfreiheit des Erblassers, andererseits willentliche Bevorzugung gewisser Personen und einen animus donandi voraus. Dies ist bei der Säule 2b ebenso wenig der Fall wie bei der Säule 2a: Wie vorstehend ausgeführt, BGE 129 III 305 S. 311 ist der Vorsorgenehmer faktisch zum Abschluss der überobligatorischen Vorsorge gezwungen und der Kreis der Begünstigten für den Fall seines Todes wird nicht von ihm, sondern durch das Reglement der Vorsorgeeinrichtung bezeichnet. Vor diesem Hintergrund ist nicht ersichtlich, inwiefern der Vorsorgenehmer erbrechtliche Pflichtteile verletzen könnte, und in diesem Sinn trifft auch das von den Befürwortern der erbrechtlichen Herabsetzung vorgebrachte Argument der "kalten Enterbung" nicht zu, umso weniger als das Vorsorgekapital lebzeitig gebunden und nicht frei übertragbar ist (AEBI-MÜLLER, Begünstigung, a.a.O., S. 40; dies., ZBJV, a.a.O., S. 512).</w:t>
      </w:r>
    </w:p>
    <w:p>
      <w:r>
        <w:rPr>
          <w:b/>
        </w:rPr>
        <w:t>E. 2.7</w:t>
      </w:r>
    </w:p>
    <w:p>
      <w:r>
        <w:t>Das Gesagte lässt es als angezeigt erscheinen, die Säule 2b in erbrechtlicher Hinsicht gleich zu behandeln wie die Säule 2a und die entsprechenden Leistungen nicht der Herabsetzung zu unterstellen. Dies gilt jedenfalls für den Normalfall, dass der Arbeitnehmer hinsichtlich Abschluss und Ausgestaltung der Vorsorge faktisch unfrei ist und ein Reglement in generell-abstrakter Weise die Leistungsmodalitäten sowie die Destinatäre bezeichnet. Wie es sich mit individuell ausgestalteten (RIEMER, a.a.O., S. 237) oder mit den wesentlich über die normale Vorsorge hinausgehenden (IZZO, a.a.O., S. 330 f.) Vorsorgeverträgen für höhere Kader und vor allem für Unternehmer verhält, kann vorliegend offen bleiben. Immerhin sind die Stiftungsorgane auch bei den individuellen Verträgen an den Vorsorgezweck gebunden (IZZO, a.a.O., S. 329; MOSER, a.a.O., S. 171 und 175) und müssen prüfen, ob die Prinzipien der Rechtsgleichheit, der Verhältnismässigkeit und des Willkürverbots eingehalten sind (KOLLER, recht, a.a.O., S. 24).</w:t>
      </w:r>
    </w:p>
    <w:p>
      <w:r>
        <w:rPr>
          <w:b/>
        </w:rPr>
        <w:t>E. 3.1</w:t>
      </w:r>
    </w:p>
    <w:p>
      <w:r>
        <w:t>Versicherte, welche die Vorsorgeeinrichtung verlassen, bevor ein Vorsorgefall eingetreten ist (Freizügigkeitsfall), haben Anspruch auf eine Austrittsleistung (Art. 2 Abs. 1 des Bundesgesetzes vom 17. Dezember 1993 über die Freizügigkeit in der beruflichen Alters-, Hinterlassenen- und Invalidenvorsorge [Freizügigkeitsgesetz, FZG; SR 831.42]). Kann diese nicht an eine neue Vorsorgeeinrichtung überwiesen werden und ist auch kein Barzahlungstatbestand gemäss Art. 5 FZG gegeben, muss der Vorsorgeschutz in anderer Form erhalten werden ( Art. 4 Abs. 1 FZG ), sei es mit einer Freizügigkeitspolice, sei es mit einem Freizügigkeitskonto ( Art. 10 Abs. 1 FZV ). Tritt der Versicherte wieder in ein Vorsorgeverhältnis ein, hat die Freizügigkeitseinrichtung das Vorsorgekapital an die neue Vorsorgeeinrichtung zu überweisen ( Art. 4 Abs. 2bis FZG ), BGE 129 III 305 S. 312 soweit es für die Finanzierung der Eintrittsleistung benötigt wird ( Art. 13 Abs. 1 FZG ).</w:t>
      </w:r>
    </w:p>
    <w:p>
      <w:r>
        <w:rPr>
          <w:b/>
        </w:rPr>
        <w:t>E. 3.2</w:t>
      </w:r>
    </w:p>
    <w:p>
      <w:r>
        <w:t>Im Unterschied zu den Vorsorgeeinrichtungen unterliegen die Freizügigkeitseinrichtungen weder den Grundsätzen der Planmässigkeit und Angemessenheit noch dem Kollektivitätsprinzip; insofern besteht eine gewisse Nähe zur gebundenen Selbstvorsorge ( BGE 122 V 320 E. 3b S. 326; KOLLER, recht, a.a.O., S. 25; REBER/MEILI, a.a.O., S. 122; IZZO, a.a.O., S. 329): Stirbt der Versicherte, bleibt das Kapital nicht bei der Freizügigkeitseinrichtung, sondern es wird an die in Art. 15 FZV kaskadenartig aufgelisteten Destinatäre ausbezahlt, zu denen in letzter Linie - vom Vorsorgegedanken her atypisch (KOLLER, recht, a.a.O., S. 25) - sämtliche gesetzlichen Erben gehören.</w:t>
      </w:r>
    </w:p>
    <w:p>
      <w:r>
        <w:rPr>
          <w:b/>
        </w:rPr>
        <w:t>E. 3.3</w:t>
      </w:r>
    </w:p>
    <w:p>
      <w:r>
        <w:t>Freizügigkeitsguthaben beruhen jedoch, dies im Unterschied zur gebundenen Selbstvorsorge, nicht auf Freiwilligkeit; vielmehr ist die Erhaltung des Vorsorgeschutzes und die damit einhergehende Gebundenheit des Guthabens gesetzlich vorgesehen. Die Freizügigkeitseinrichtungen gehören denn auch zur beruflichen Vorsorge im weiteren Sinn, und Freizügigkeitspolicen bzw. -konti haben in der Regel eine blosse Überbrückungsfunktion (KOLLER, recht, a.a.O., S. 25), indem sie primär für die Finanzierung der Eintrittsleistung in die neue Vorsorgeeinrichtung bestimmt sind. Hinterlässt der Versicherte einen Ehegatten oder unmündige Kinder, aber auch andere Personen, für die er aufgekommen ist, löst sein Ableben in der Regel eine klassische Vorsorgesituation aus. Es erscheint unbillig, den bedürftig gewordenen Hinterbliebenen die Vorsorge zu entziehen, die ihnen zu Teil geworden wäre, wenn das Vorsorgekapital nicht infolge Arbeitslosigkeit des Vorsorgenehmers oder aus anderen Gründen an eine Freizügigkeitseinrichtung überwiesen worden wäre. Es drängt sich deshalb auf, dieses für die Zeit, während der der Versicherte keiner Vorsorgeeinrichtung angehört, nicht anders zu behandeln, als wenn ein Vorsorgeverhältnis bestünde (GEISER, a.a.O., S. 102; AEBI-MÜLLER, Begünstigung, a.a.O., S. 41; dies., ZBJV, a.a.O., S. 513; IZZO, a.a.O., S. 333; a.M.: KOLLER, recht, a.a.O., S. 25). Es ist nicht zu übersehen, dass sich dabei Konstellationen ergeben können, die auf den ersten Blick stossend wirken. So könnte - wie im vorliegenden Fall - ein kurz vor der Volljährigkeit stehendes Kind bei einem Freizügigkeitskonto die ganze Leistung für sich beanspruchen, während seine volljährigen Geschwister leer ausgingen. Umgekehrt würde jedoch ein Kind, das noch über Jahre BGE 129 III 305 S. 313 vorsorgebedürftig ist und durch den verstorbenen Versicherten versorgt worden wäre, bei einem Freizügigkeitskonto ebenfalls (nur) die gleiche Summe erhalten. Das allenfalls stossende Moment liegt demnach nicht darin begründet, dass die Freizügigkeitsleistung am Erbrecht vorbeigeht, denn die volljährigen Geschwister könnten ja ebenso wenig Ansprüche geltend machen, wenn das Vorsorgeverhältnis des Verstorbenen noch bestünde (dazu E. 2); vielmehr ist es auf den Umstand zurückzuführen, dass sich das ausbezahlte Kapital bei den Freizügigkeitskonti und den Kapitalpolicen - im Unterschied zu den Renten bei der beruflichen Vorsorge - nicht nach der effektiven Versorgungsbedürftigkeit der Anspruchsberechtigten richtet.</w:t>
      </w:r>
    </w:p>
    <w:p>
      <w:r>
        <w:rPr>
          <w:b/>
        </w:rPr>
        <w:t>E. 3.4</w:t>
      </w:r>
    </w:p>
    <w:p>
      <w:r>
        <w:t>Massgebend für die erbrechtliche Behandlung von Freizügigkeitsleistungen ist schliesslich, dass Art. 15 FZV die Begünstigungsfrage abschliessend regelt. Entgegen gewissen Lehrmeinungen (etwa KOLLER, Die neue Begünstigtenordnung bei Freizügigkeitspolicen und Freizügigkeitskonti, in: AJP 1995 S. 742; REBER/MEILI, a.a.O., S. 122), denen sich die Vorinstanz angeschlossen hat, beruht die entsprechende Norm auf einer genügenden gesetzlichen Grundlage, und es lässt sich auch nicht von einer füllungsbedürftigen Lücke sprechen: Art. 29 Abs. 3 BVG bestimmte in der ursprünglichen Fassung vom 25. Juni 1982, dass der Vorsorgeschutz durch eine Freizügigkeitspolice oder in anderer gleichwertiger Form zu erhalten sei, wenn die Austrittsleistung weder einer neuen Vorsorgeeinrichtung überwiesen noch bei der alten belassen werden könne (AS 1983 S. 803). Der damalige Art. 29 Abs. 4 BVG ermächtigte den Bundesrat, die Errichtung, den Inhalt und die Rechtswirkungen der Freizügigkeitspolicen und der anderen Erhaltungsformen zu regeln. Gestützt auf diese Ermächtigungsnorm hat der Bundesrat am 12. November 1986 die Verordnung über die Erhaltung des Vorsorgeschutzes und die Freizügigkeit erlassen (AS 1986 S. 2008). Art. 6 Abs. 1 lit. b dieser Verordnung erklärte als Begünstigte für den Todesfall die Hinterlassenen nach Art. 18-22 BVG (Ziff. 1), die übrigen Kinder, den Witwer und die Personen, die vom Vorsorgenehmer in erheblichem Masse unterstützt worden sind (Ziff. 2) sowie die übrigen Erben (Ziff. 3). Mit dem Freizügigkeitsgesetz ist der seinerzeitige Art. 29 BVG ersatzlos aufgehoben worden (Anhang zum FZG, Ziff. 3). Dafür bestimmt nunmehr Art. 26 Abs. 1 FZG , dass der Bundesrat die Ausführungsvorschriften erlasse und die zulässigen Formen der BGE 129 III 305 S. 314 Erhaltung des Vorsorgeschutzes regle. Gestützt hierauf ist am 1. Januar 1995 gleichzeitig mit dem FZG die FZV in Kraft gesetzt worden, deren Art. 15 die Begünstigtenregelung von Art. 6 der früheren Verordnung - mit einer vorliegend irrelevanten Einschränkung in Ziff. 3 - übernommen hat. In der Botschaft zum FZG ist auf die alte Verordnung hingewiesen worden; diese müsse den neuen Verhältnissen angepasst werden, wobei insbesondere die Führung der Freizügigkeitskonti durch die Auffangeinrichtung neu zu regeln sei (BBl 1992 III 602). Wenn auch die Delegationsnorm von Art. 26 Abs. 1 FZG allgemein gehalten ist, muss sie vor dem Hintergrund der Entstehungsgeschichte des Freizügigkeitsrechts gelesen werden. Diese lässt keinen anderen Schluss zu, als dass der Gesetzgeber des FZG, der die Begünstigtenregelung der früheren Verordnung kannte, davon ausgehen durfte und musste, diese würde durch Überführung in die neue Verordnung gleich oder jedenfalls nicht wesentlich anders ausfallen. Indem der Gesetzgeber auf eine eigene Regelung im FZG verzichtet hat, billigte er konkludent die seit 1987 auf Verordnungsstufe bestehende. Als dergestalt vom Gesetzgeber sanktionierte Spezialregelung geht sie den älteren und allgemeinen Bestimmungen des Erbrechts vor. Ausser Zweifel steht schliesslich, dass die Vorschriften des FZG auf alle beruflichen Vorsorgeverhältnisse anwendbar sind und insbesondere auch den überobligatorischen Bereich umfassen (BBl 1992 III 570). Nichts anderes gilt für die vom Bundesrat erlassene FZV (Bericht der Arbeitsgruppe Freizügigkeit in der beruflichen Vorsorge, Bern 1990, S. 126 Fn. 17).</w:t>
      </w:r>
    </w:p>
    <w:p>
      <w:r>
        <w:rPr>
          <w:b/>
        </w:rPr>
        <w:t>E. 3.5</w:t>
      </w:r>
    </w:p>
    <w:p>
      <w:r>
        <w:t>Zusammenfassend ist festzuhalten, dass Freizügigkeitsleistungen weder in den Nachlass fallen noch der erbrechtlichen Herabsetzung unterliegen.</w:t>
      </w:r>
    </w:p>
    <w:p>
      <w:r>
        <w:rPr>
          <w:b/>
        </w:rPr>
        <w:t>E. 4</w:t>
      </w:r>
    </w:p>
    <w:p>
      <w:r>
        <w:t>Bei diesem Ergebnis wird die Frage, ob die Beklagte mit Schreiben vom 12. September 2000 ihre Ausschlagungserklärung vom 30. Mai 1997 rechtsgültig habe widerrufen können, mit Bezug auf die Freizügigkeitsleistung gegenstandslos. Sie bleibt jedoch insoweit von Bedeutung, als es um die Tragung der Erbschaftsschulden geht.</w:t>
      </w:r>
    </w:p>
    <w:p>
      <w:r>
        <w:rPr>
          <w:b/>
        </w:rPr>
        <w:t>E. 4.1</w:t>
      </w:r>
    </w:p>
    <w:p>
      <w:r>
        <w:t>Die Vorinstanz hat diesbezüglich ausgeführt, die blossen Meinungsäusserungen der Klägerinnen hätten die massgebliche Rechtslage nicht verbindlich zu klären vermocht und die Beklagte habe sich angesichts der kontroversen Lehre auf die von der Freizügigkeitsstiftung vertretene Auffassung verlassen dürfen, dass das BGE 129 III 305 S. 315 Freizügigkeitskapital keine erbrechtliche Relevanz aufweise; erst an der Hauptverhandlung vom 29. Mai 2000 sei sie von der wahren Rechtslage in Kenntnis gesetzt worden. Gemeint ist damit offensichtlich der Vergleichsvorschlag des Kantonsgerichts Schaffhausen, der gleich lautete und gleich begründet worden ist wie schliesslich das Urteil (HV-Protokoll, p. 67 unten). Bei der Unterbreitung des Vergleichsvorschlages hat das Kantonsgericht im Übrigen ausgeführt, die Beklagte habe sich bei der Ausschlagung in einem Grundlagenirrtum befunden; die Frist für dessen Anfechtung beginne erst mit den jetzigen Erläuterungen durch das Gericht zu laufen und der Irrtum könne deshalb beim Vergleichsvorschlag berücksichtigt werden (HV-Protokoll, p. 67 oben).</w:t>
      </w:r>
    </w:p>
    <w:p>
      <w:r>
        <w:rPr>
          <w:b/>
        </w:rPr>
        <w:t>E. 4.2</w:t>
      </w:r>
    </w:p>
    <w:p>
      <w:r>
        <w:t>Während sich die Beklagte in ihrer Berufung zur Frage der Rechtsverbindlichkeit des Widerrufs bzw. der Anfechtung nicht äussert - sie hat lediglich ein Begehren um vollständige Abweisung der Herabsetzungs- und Erbschaftsklage gestellt -, wird diese Möglichkeit von den Klägerinnen in der Berufungsantwort vehement bestritten: Zum einen handle es sich bei der Ausschlagungserklärung um ein widerrufsfeindliches Gestaltungsrecht, zum anderen sei Art. 24 Abs. 1 Ziff. 4 OR nur auf Verträge anwendbar.</w:t>
      </w:r>
    </w:p>
    <w:p>
      <w:r>
        <w:rPr>
          <w:b/>
        </w:rPr>
        <w:t>E. 4.3</w:t>
      </w:r>
    </w:p>
    <w:p>
      <w:r>
        <w:t>Die Ausschlagungserklärung wird in der Lehre fast einhellig als prinzipiell unwiderruflich bezeichnet (EUGEN HUBER, Erläuterungen zum Vorentwurf des ZGB, Bd. I, Bern 1914, S. 441; TUOR/PICENONI, Berner Kommentar, N. 6 zu Art. 570 ZGB ; ESCHER, Zürcher Kommentar, N. 7 zu Art. 570 ZGB ; SCHWANDER, Basler Kommentar, N. 4 zu Art. 566 ZGB ; RUSCH, Die erbrechtlichen Gestaltungsrechte nach Eröffnung des Erbganges, Diss. Zürich 1983, S. 57). Aus rechtsdogmatischer Sicht ist dies zwingend, weil ein Gestaltungsrecht mit seiner Ausübung untergeht. Hingegen befürworten die Kommentatoren, die Ausschlagungserklärung in sinngemässer Anwendung von Art. 23 ff. OR der Anfechtung zu unterstellen (TUOR/PICENONI, a.a.O., N. 6 zu Art. 570 ZGB ; ESCHER, a.a.O., N. 8 zu Art. 570 ZGB ; SCHWANDER, a.a.O., N. 4 zu Art. 566 ZGB ). Wie es sich damit im Einzelnen verhält, kann vorliegend offen gelassen werden: Angesichts der Kontroverse über die Frage, wie die überobligatorische Vorsorge und die Freizügigkeitsleistung erbrechtlich zu behandeln seien, musste die Beklagte über die Vor- und Nachteile der Ausschlagung abwägen. Indem sie sich für die Ausschlagung entschied, nahm sie das Risiko in Kauf, die Freizügigkeitsleistung oder jedenfalls den aus der überobligatorischen Vorsorge stammenden Teil im Klagefall herausgeben zu müssen. BGE 129 III 305 S. 316 Wäre sie bei ihrem Entscheid einem (Rechts-)irrtum erlegen, hätte es sich somit nicht um einen Grundlagen-, sondern um einen unbeachtlichen Motivirrtum gemäss Art. 24 Abs. 2 OR gehandelt. Abgesehen davon geht der Meinungsäusserung eines erstinstanzlichen Gerichts zu einer hochkontroversen Frage anlässlich der Präsentation eines unverbindlichen Vergleichsvorschlages von vornherein jede Eignung ab, einen Rechtsirrtum "aufzudecken".</w:t>
      </w:r>
    </w:p>
    <w:p>
      <w:r>
        <w:rPr>
          <w:b/>
        </w:rPr>
        <w:t>E. 4.4</w:t>
      </w:r>
    </w:p>
    <w:p>
      <w:r>
        <w:t>Zusammenfassend ergibt sich, dass die Ausschlagungserklärung der Beklagten vom 30. Mai 1997 weder widerruflich noch anfechtbar (gewesen)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